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3522D0" w:rsidRDefault="00724F40" w:rsidP="001F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2D0">
        <w:rPr>
          <w:rFonts w:ascii="Times New Roman" w:hAnsi="Times New Roman" w:cs="Times New Roman"/>
          <w:b/>
          <w:sz w:val="30"/>
          <w:szCs w:val="30"/>
        </w:rPr>
        <w:t>ЦЕЛЕВЫЕ ОРИЕНТИРЫ</w:t>
      </w:r>
      <w:r w:rsidR="00070662" w:rsidRPr="003522D0">
        <w:rPr>
          <w:rFonts w:ascii="Times New Roman" w:hAnsi="Times New Roman" w:cs="Times New Roman"/>
          <w:b/>
          <w:sz w:val="30"/>
          <w:szCs w:val="30"/>
        </w:rPr>
        <w:t xml:space="preserve"> (ПОКАЗАТЕЛИ)</w:t>
      </w:r>
    </w:p>
    <w:p w:rsidR="00FE7B68" w:rsidRPr="003522D0" w:rsidRDefault="00724F40" w:rsidP="00295D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2D0">
        <w:rPr>
          <w:rFonts w:ascii="Times New Roman" w:hAnsi="Times New Roman" w:cs="Times New Roman"/>
          <w:b/>
          <w:sz w:val="30"/>
          <w:szCs w:val="30"/>
        </w:rPr>
        <w:t xml:space="preserve">ПО УЛУЧШЕНИЮ ЗДОРОВЬЯ И </w:t>
      </w:r>
      <w:r w:rsidR="001F53F6" w:rsidRPr="003522D0">
        <w:rPr>
          <w:rFonts w:ascii="Times New Roman" w:hAnsi="Times New Roman" w:cs="Times New Roman"/>
          <w:b/>
          <w:sz w:val="30"/>
          <w:szCs w:val="30"/>
        </w:rPr>
        <w:t xml:space="preserve">КАЧЕСТВА СРЕДЫ ЖИЗНЕДЕЯТЕЛЬНОСТИ </w:t>
      </w:r>
    </w:p>
    <w:p w:rsidR="00FE7B68" w:rsidRPr="003522D0" w:rsidRDefault="001F53F6" w:rsidP="00295D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2D0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="00610CE8" w:rsidRPr="003522D0">
        <w:rPr>
          <w:rFonts w:ascii="Times New Roman" w:hAnsi="Times New Roman" w:cs="Times New Roman"/>
          <w:b/>
          <w:sz w:val="30"/>
          <w:szCs w:val="30"/>
        </w:rPr>
        <w:t>КРАСНОПОЛЬСКОГО</w:t>
      </w:r>
      <w:r w:rsidR="00724F40" w:rsidRPr="003522D0">
        <w:rPr>
          <w:rFonts w:ascii="Times New Roman" w:hAnsi="Times New Roman" w:cs="Times New Roman"/>
          <w:b/>
          <w:sz w:val="30"/>
          <w:szCs w:val="30"/>
        </w:rPr>
        <w:t xml:space="preserve"> РАЙОНА </w:t>
      </w:r>
    </w:p>
    <w:p w:rsidR="00724F40" w:rsidRPr="003522D0" w:rsidRDefault="00610CE8" w:rsidP="00295D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22D0">
        <w:rPr>
          <w:rFonts w:ascii="Times New Roman" w:hAnsi="Times New Roman" w:cs="Times New Roman"/>
          <w:b/>
          <w:sz w:val="30"/>
          <w:szCs w:val="30"/>
        </w:rPr>
        <w:t>НА ПЕРИОД 2022-2023</w:t>
      </w:r>
      <w:r w:rsidR="00724F40" w:rsidRPr="003522D0">
        <w:rPr>
          <w:rFonts w:ascii="Times New Roman" w:hAnsi="Times New Roman" w:cs="Times New Roman"/>
          <w:b/>
          <w:sz w:val="30"/>
          <w:szCs w:val="30"/>
        </w:rPr>
        <w:t xml:space="preserve"> гг.</w:t>
      </w:r>
    </w:p>
    <w:p w:rsidR="00610CE8" w:rsidRPr="006432A9" w:rsidRDefault="00610CE8" w:rsidP="004013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0"/>
        <w:gridCol w:w="3634"/>
        <w:gridCol w:w="2845"/>
      </w:tblGrid>
      <w:tr w:rsidR="00610CE8" w:rsidRPr="003522D0" w:rsidTr="002622B2">
        <w:trPr>
          <w:trHeight w:val="606"/>
        </w:trPr>
        <w:tc>
          <w:tcPr>
            <w:tcW w:w="8650" w:type="dxa"/>
          </w:tcPr>
          <w:p w:rsidR="00610CE8" w:rsidRPr="003522D0" w:rsidRDefault="00610CE8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3522D0">
              <w:rPr>
                <w:rFonts w:ascii="Times New Roman" w:hAnsi="Times New Roman"/>
                <w:i/>
                <w:sz w:val="30"/>
                <w:szCs w:val="30"/>
              </w:rPr>
              <w:t>Целевой ориентир</w:t>
            </w:r>
          </w:p>
        </w:tc>
        <w:tc>
          <w:tcPr>
            <w:tcW w:w="3634" w:type="dxa"/>
            <w:vAlign w:val="center"/>
          </w:tcPr>
          <w:p w:rsidR="00610CE8" w:rsidRPr="003522D0" w:rsidRDefault="00610CE8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3522D0">
              <w:rPr>
                <w:rFonts w:ascii="Times New Roman" w:hAnsi="Times New Roman"/>
                <w:i/>
                <w:sz w:val="30"/>
                <w:szCs w:val="30"/>
              </w:rPr>
              <w:t>К  концу 2022г. от уровня 2021г.</w:t>
            </w:r>
          </w:p>
        </w:tc>
        <w:tc>
          <w:tcPr>
            <w:tcW w:w="2845" w:type="dxa"/>
            <w:vAlign w:val="center"/>
          </w:tcPr>
          <w:p w:rsidR="00610CE8" w:rsidRPr="003522D0" w:rsidRDefault="00610CE8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3522D0">
              <w:rPr>
                <w:rFonts w:ascii="Times New Roman" w:hAnsi="Times New Roman"/>
                <w:i/>
                <w:sz w:val="30"/>
                <w:szCs w:val="30"/>
              </w:rPr>
              <w:t>К концу 2023г.</w:t>
            </w:r>
          </w:p>
          <w:p w:rsidR="00610CE8" w:rsidRPr="003522D0" w:rsidRDefault="00610CE8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3522D0">
              <w:rPr>
                <w:rFonts w:ascii="Times New Roman" w:hAnsi="Times New Roman"/>
                <w:i/>
                <w:sz w:val="30"/>
                <w:szCs w:val="30"/>
              </w:rPr>
              <w:t>от уровня 2022 г.</w:t>
            </w:r>
          </w:p>
        </w:tc>
      </w:tr>
      <w:tr w:rsidR="00610CE8" w:rsidRPr="003522D0" w:rsidTr="002622B2">
        <w:trPr>
          <w:trHeight w:val="621"/>
        </w:trPr>
        <w:tc>
          <w:tcPr>
            <w:tcW w:w="8650" w:type="dxa"/>
          </w:tcPr>
          <w:p w:rsidR="00D80CD0" w:rsidRPr="002622B2" w:rsidRDefault="00610CE8" w:rsidP="002622B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22B2">
              <w:rPr>
                <w:rFonts w:ascii="Times New Roman" w:hAnsi="Times New Roman"/>
                <w:sz w:val="30"/>
                <w:szCs w:val="30"/>
              </w:rPr>
              <w:t>Снижение</w:t>
            </w:r>
            <w:r w:rsidR="002622B2" w:rsidRPr="002622B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80CD0" w:rsidRPr="002622B2">
              <w:rPr>
                <w:rFonts w:ascii="Times New Roman" w:hAnsi="Times New Roman"/>
                <w:sz w:val="30"/>
                <w:szCs w:val="30"/>
              </w:rPr>
              <w:t>показателей понижения остроты зрения и нарушений осанки</w:t>
            </w:r>
            <w:r w:rsidR="00D70902" w:rsidRPr="002622B2">
              <w:rPr>
                <w:rFonts w:ascii="Times New Roman" w:hAnsi="Times New Roman"/>
                <w:sz w:val="30"/>
                <w:szCs w:val="30"/>
              </w:rPr>
              <w:t xml:space="preserve"> среди детей</w:t>
            </w:r>
          </w:p>
          <w:p w:rsidR="006432A9" w:rsidRPr="002622B2" w:rsidRDefault="006432A9" w:rsidP="002622B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3634" w:type="dxa"/>
            <w:vAlign w:val="center"/>
          </w:tcPr>
          <w:p w:rsidR="00610CE8" w:rsidRPr="002622B2" w:rsidRDefault="002622B2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="00610CE8" w:rsidRPr="002622B2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</w:tc>
        <w:tc>
          <w:tcPr>
            <w:tcW w:w="2845" w:type="dxa"/>
            <w:vAlign w:val="center"/>
          </w:tcPr>
          <w:p w:rsidR="00610CE8" w:rsidRPr="002622B2" w:rsidRDefault="002622B2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  <w:r w:rsidR="00610CE8" w:rsidRPr="002622B2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</w:tc>
      </w:tr>
      <w:tr w:rsidR="00610CE8" w:rsidRPr="003522D0" w:rsidTr="002622B2">
        <w:trPr>
          <w:trHeight w:val="621"/>
        </w:trPr>
        <w:tc>
          <w:tcPr>
            <w:tcW w:w="8650" w:type="dxa"/>
          </w:tcPr>
          <w:p w:rsidR="00610CE8" w:rsidRPr="003522D0" w:rsidRDefault="00610CE8" w:rsidP="006432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Обеспечение охвата медосмотрами  работающих от подлежащего контингента</w:t>
            </w:r>
          </w:p>
        </w:tc>
        <w:tc>
          <w:tcPr>
            <w:tcW w:w="3634" w:type="dxa"/>
            <w:vAlign w:val="center"/>
          </w:tcPr>
          <w:p w:rsidR="00610CE8" w:rsidRPr="003522D0" w:rsidRDefault="00610CE8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не ниже 99 %</w:t>
            </w:r>
          </w:p>
        </w:tc>
        <w:tc>
          <w:tcPr>
            <w:tcW w:w="2845" w:type="dxa"/>
            <w:vAlign w:val="center"/>
          </w:tcPr>
          <w:p w:rsidR="00610CE8" w:rsidRPr="003522D0" w:rsidRDefault="00610CE8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не ниже 99,5 %</w:t>
            </w:r>
          </w:p>
        </w:tc>
      </w:tr>
      <w:tr w:rsidR="000C3BAD" w:rsidRPr="003522D0" w:rsidTr="002622B2">
        <w:trPr>
          <w:trHeight w:val="621"/>
        </w:trPr>
        <w:tc>
          <w:tcPr>
            <w:tcW w:w="8650" w:type="dxa"/>
          </w:tcPr>
          <w:p w:rsidR="000C3BAD" w:rsidRPr="003522D0" w:rsidRDefault="00401319" w:rsidP="006432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Обеспечение уровней охвата населения в соответствии с Национальным календарем профилактических прививок</w:t>
            </w:r>
          </w:p>
        </w:tc>
        <w:tc>
          <w:tcPr>
            <w:tcW w:w="3634" w:type="dxa"/>
            <w:vAlign w:val="center"/>
          </w:tcPr>
          <w:p w:rsidR="000C3BAD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Ежегодно не менее 97% для детей, 96% для взрослых</w:t>
            </w:r>
          </w:p>
        </w:tc>
        <w:tc>
          <w:tcPr>
            <w:tcW w:w="2845" w:type="dxa"/>
            <w:vAlign w:val="center"/>
          </w:tcPr>
          <w:p w:rsidR="000C3BAD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Ежегодно не менее 97% для детей, 96% для взрослых</w:t>
            </w:r>
          </w:p>
        </w:tc>
      </w:tr>
      <w:tr w:rsidR="00401319" w:rsidRPr="003522D0" w:rsidTr="002622B2">
        <w:trPr>
          <w:trHeight w:val="621"/>
        </w:trPr>
        <w:tc>
          <w:tcPr>
            <w:tcW w:w="8650" w:type="dxa"/>
          </w:tcPr>
          <w:p w:rsidR="00401319" w:rsidRPr="003522D0" w:rsidRDefault="00401319" w:rsidP="006432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Организация и проведение  кампании по проведению прививок против гриппа населения, охватив на 75% группы риска</w:t>
            </w:r>
          </w:p>
        </w:tc>
        <w:tc>
          <w:tcPr>
            <w:tcW w:w="3634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Ежегодно 75% группы риска</w:t>
            </w:r>
          </w:p>
        </w:tc>
        <w:tc>
          <w:tcPr>
            <w:tcW w:w="2845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Ежегодно 75% группы риска</w:t>
            </w:r>
          </w:p>
        </w:tc>
      </w:tr>
      <w:tr w:rsidR="00401319" w:rsidRPr="003522D0" w:rsidTr="002622B2">
        <w:trPr>
          <w:trHeight w:val="621"/>
        </w:trPr>
        <w:tc>
          <w:tcPr>
            <w:tcW w:w="8650" w:type="dxa"/>
          </w:tcPr>
          <w:p w:rsidR="00401319" w:rsidRPr="003522D0" w:rsidRDefault="00401319" w:rsidP="006432A9">
            <w:pPr>
              <w:pStyle w:val="a4"/>
              <w:jc w:val="both"/>
              <w:rPr>
                <w:color w:val="FF0000"/>
                <w:sz w:val="30"/>
                <w:szCs w:val="30"/>
              </w:rPr>
            </w:pPr>
            <w:r w:rsidRPr="003522D0">
              <w:rPr>
                <w:rFonts w:eastAsia="PMingLiU"/>
                <w:bCs/>
                <w:sz w:val="30"/>
                <w:szCs w:val="30"/>
                <w:lang w:eastAsia="zh-TW"/>
              </w:rPr>
              <w:t xml:space="preserve">Обеспечение качества обследования очагов парентеральных вирусных гепатитов с целью определения максимально возможного количества случаев источников, путей и факторов, способствующих передаче инфекции. Использование полученных данных для корректировки принимаемых профилактических мер с целью снижения заболеваемости </w:t>
            </w:r>
          </w:p>
        </w:tc>
        <w:tc>
          <w:tcPr>
            <w:tcW w:w="3634" w:type="dxa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845" w:type="dxa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</w:tr>
      <w:tr w:rsidR="00401319" w:rsidRPr="003522D0" w:rsidTr="002622B2">
        <w:trPr>
          <w:trHeight w:val="606"/>
        </w:trPr>
        <w:tc>
          <w:tcPr>
            <w:tcW w:w="8650" w:type="dxa"/>
          </w:tcPr>
          <w:p w:rsidR="00401319" w:rsidRPr="003522D0" w:rsidRDefault="00974DD0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Обеспечение пищеблоков ДДУ оборудованием для приготовления диетических блюд</w:t>
            </w:r>
          </w:p>
        </w:tc>
        <w:tc>
          <w:tcPr>
            <w:tcW w:w="3634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5</w:t>
            </w:r>
            <w:r w:rsidR="00974DD0" w:rsidRPr="003522D0">
              <w:rPr>
                <w:rFonts w:ascii="Times New Roman" w:hAnsi="Times New Roman"/>
                <w:sz w:val="30"/>
                <w:szCs w:val="30"/>
              </w:rPr>
              <w:t>0</w:t>
            </w:r>
            <w:r w:rsidRPr="003522D0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</w:tc>
        <w:tc>
          <w:tcPr>
            <w:tcW w:w="2845" w:type="dxa"/>
            <w:vAlign w:val="center"/>
          </w:tcPr>
          <w:p w:rsidR="00401319" w:rsidRPr="003522D0" w:rsidRDefault="00974DD0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6</w:t>
            </w:r>
            <w:r w:rsidR="00401319" w:rsidRPr="003522D0">
              <w:rPr>
                <w:rFonts w:ascii="Times New Roman" w:hAnsi="Times New Roman"/>
                <w:sz w:val="30"/>
                <w:szCs w:val="30"/>
              </w:rPr>
              <w:t>0 %</w:t>
            </w: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401319" w:rsidP="0021601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Улучшение качества питьевой воды, подаваемой населению из разводящей сети от централизованных источников водоснабжения. Уменьшение количества нестандартных проб</w:t>
            </w:r>
            <w:r w:rsidR="00216015" w:rsidRPr="003522D0">
              <w:rPr>
                <w:rFonts w:ascii="Times New Roman" w:hAnsi="Times New Roman"/>
                <w:sz w:val="30"/>
                <w:szCs w:val="30"/>
              </w:rPr>
              <w:t xml:space="preserve"> по санитарно-химическим показателям </w:t>
            </w:r>
          </w:p>
        </w:tc>
        <w:tc>
          <w:tcPr>
            <w:tcW w:w="3634" w:type="dxa"/>
            <w:vAlign w:val="center"/>
          </w:tcPr>
          <w:p w:rsidR="00401319" w:rsidRPr="00050075" w:rsidRDefault="008A58CA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50075"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 w:rsidR="00050075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  <w:r w:rsidR="00401319" w:rsidRPr="00050075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  <w:p w:rsidR="002905ED" w:rsidRPr="00050075" w:rsidRDefault="002905ED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45" w:type="dxa"/>
            <w:vAlign w:val="center"/>
          </w:tcPr>
          <w:p w:rsidR="00401319" w:rsidRPr="00050075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50075">
              <w:rPr>
                <w:rFonts w:ascii="Times New Roman" w:hAnsi="Times New Roman"/>
                <w:sz w:val="30"/>
                <w:szCs w:val="30"/>
              </w:rPr>
              <w:t xml:space="preserve">на </w:t>
            </w:r>
            <w:r w:rsidR="00050075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  <w:r w:rsidRPr="00050075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  <w:p w:rsidR="002905ED" w:rsidRPr="00050075" w:rsidRDefault="002905ED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lastRenderedPageBreak/>
              <w:t>Улучш</w:t>
            </w:r>
            <w:r w:rsidR="00B54D6D" w:rsidRPr="003522D0">
              <w:rPr>
                <w:rFonts w:ascii="Times New Roman" w:hAnsi="Times New Roman"/>
                <w:sz w:val="30"/>
                <w:szCs w:val="30"/>
              </w:rPr>
              <w:t>ение качества питьевой воды из н</w:t>
            </w:r>
            <w:r w:rsidRPr="003522D0">
              <w:rPr>
                <w:rFonts w:ascii="Times New Roman" w:hAnsi="Times New Roman"/>
                <w:sz w:val="30"/>
                <w:szCs w:val="30"/>
              </w:rPr>
              <w:t>ецентрализов</w:t>
            </w:r>
            <w:r w:rsidR="00946BEE" w:rsidRPr="003522D0">
              <w:rPr>
                <w:rFonts w:ascii="Times New Roman" w:hAnsi="Times New Roman"/>
                <w:sz w:val="30"/>
                <w:szCs w:val="30"/>
              </w:rPr>
              <w:t xml:space="preserve">анных источников водоснабжения. </w:t>
            </w:r>
            <w:r w:rsidRPr="003522D0">
              <w:rPr>
                <w:rFonts w:ascii="Times New Roman" w:hAnsi="Times New Roman"/>
                <w:sz w:val="30"/>
                <w:szCs w:val="30"/>
              </w:rPr>
              <w:t>Уменьшение количества нестандартных проб по содержанию нитратов</w:t>
            </w:r>
          </w:p>
        </w:tc>
        <w:tc>
          <w:tcPr>
            <w:tcW w:w="3634" w:type="dxa"/>
            <w:vAlign w:val="center"/>
          </w:tcPr>
          <w:p w:rsidR="00401319" w:rsidRPr="003522D0" w:rsidRDefault="008A58CA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на 5</w:t>
            </w:r>
            <w:r w:rsidR="00401319" w:rsidRPr="003522D0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</w:tc>
        <w:tc>
          <w:tcPr>
            <w:tcW w:w="2845" w:type="dxa"/>
            <w:vAlign w:val="center"/>
          </w:tcPr>
          <w:p w:rsidR="00401319" w:rsidRPr="003522D0" w:rsidRDefault="00401319" w:rsidP="008A58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н</w:t>
            </w:r>
            <w:r w:rsidRPr="003522D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а </w:t>
            </w:r>
            <w:r w:rsidR="008A58CA" w:rsidRPr="003522D0">
              <w:rPr>
                <w:rFonts w:ascii="Times New Roman" w:hAnsi="Times New Roman"/>
                <w:sz w:val="30"/>
                <w:szCs w:val="30"/>
              </w:rPr>
              <w:t>5</w:t>
            </w:r>
            <w:r w:rsidRPr="003522D0">
              <w:rPr>
                <w:rFonts w:ascii="Times New Roman" w:hAnsi="Times New Roman"/>
                <w:sz w:val="30"/>
                <w:szCs w:val="30"/>
              </w:rPr>
              <w:t xml:space="preserve"> %</w:t>
            </w: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Обеспечение охвата лабораторными исследованиями питьевой воды из централизованной и нецентрализованной системы водоснабжения в рамках государственного санитарного надзора и выполнения программ производственного контроля</w:t>
            </w:r>
          </w:p>
        </w:tc>
        <w:tc>
          <w:tcPr>
            <w:tcW w:w="3634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100%</w:t>
            </w:r>
          </w:p>
        </w:tc>
        <w:tc>
          <w:tcPr>
            <w:tcW w:w="2845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100%</w:t>
            </w: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401319" w:rsidP="0025083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 xml:space="preserve">Вовлечение </w:t>
            </w:r>
            <w:r w:rsidR="00EE3F75" w:rsidRPr="003522D0">
              <w:rPr>
                <w:rFonts w:ascii="Times New Roman" w:hAnsi="Times New Roman"/>
                <w:sz w:val="30"/>
                <w:szCs w:val="30"/>
              </w:rPr>
              <w:t xml:space="preserve">предприятий </w:t>
            </w:r>
            <w:r w:rsidRPr="003522D0">
              <w:rPr>
                <w:rFonts w:ascii="Times New Roman" w:hAnsi="Times New Roman"/>
                <w:sz w:val="30"/>
                <w:szCs w:val="30"/>
              </w:rPr>
              <w:t>в профилактический проект</w:t>
            </w:r>
            <w:proofErr w:type="gramStart"/>
            <w:r w:rsidR="00C1760A" w:rsidRPr="003522D0">
              <w:rPr>
                <w:rFonts w:ascii="Times New Roman" w:hAnsi="Times New Roman"/>
                <w:sz w:val="30"/>
                <w:szCs w:val="30"/>
              </w:rPr>
              <w:t>«З</w:t>
            </w:r>
            <w:proofErr w:type="gramEnd"/>
            <w:r w:rsidR="00C1760A" w:rsidRPr="003522D0">
              <w:rPr>
                <w:rFonts w:ascii="Times New Roman" w:hAnsi="Times New Roman"/>
                <w:sz w:val="30"/>
                <w:szCs w:val="30"/>
              </w:rPr>
              <w:t>доровые сотрудники-успешное предприятие»</w:t>
            </w:r>
          </w:p>
        </w:tc>
        <w:tc>
          <w:tcPr>
            <w:tcW w:w="3634" w:type="dxa"/>
            <w:vAlign w:val="center"/>
          </w:tcPr>
          <w:p w:rsidR="00401319" w:rsidRPr="003522D0" w:rsidRDefault="00C1760A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1 учреждение в год</w:t>
            </w:r>
          </w:p>
        </w:tc>
        <w:tc>
          <w:tcPr>
            <w:tcW w:w="2845" w:type="dxa"/>
            <w:vAlign w:val="center"/>
          </w:tcPr>
          <w:p w:rsidR="00401319" w:rsidRPr="003522D0" w:rsidRDefault="00C1760A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1 учреждение в год</w:t>
            </w: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401319" w:rsidP="006432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Обеспечение производственного лабораторного контроля на объектахнадзора</w:t>
            </w:r>
          </w:p>
        </w:tc>
        <w:tc>
          <w:tcPr>
            <w:tcW w:w="3634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не менее 90%</w:t>
            </w:r>
          </w:p>
        </w:tc>
        <w:tc>
          <w:tcPr>
            <w:tcW w:w="2845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95%</w:t>
            </w: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401319" w:rsidP="006432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 w:cs="Times New Roman"/>
                <w:sz w:val="30"/>
                <w:szCs w:val="30"/>
              </w:rPr>
              <w:t>Вовлечение школ района в проект «Школа – территория здоровья»</w:t>
            </w:r>
          </w:p>
        </w:tc>
        <w:tc>
          <w:tcPr>
            <w:tcW w:w="3634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 w:cs="Times New Roman"/>
                <w:sz w:val="30"/>
                <w:szCs w:val="30"/>
              </w:rPr>
              <w:t>не менее 90%</w:t>
            </w:r>
          </w:p>
        </w:tc>
        <w:tc>
          <w:tcPr>
            <w:tcW w:w="2845" w:type="dxa"/>
            <w:vAlign w:val="center"/>
          </w:tcPr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 w:cs="Times New Roman"/>
                <w:sz w:val="30"/>
                <w:szCs w:val="30"/>
              </w:rPr>
              <w:t>не менее 100%</w:t>
            </w: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C47DE5" w:rsidP="00401319">
            <w:pPr>
              <w:pStyle w:val="a4"/>
              <w:jc w:val="both"/>
              <w:rPr>
                <w:color w:val="FF0000"/>
                <w:sz w:val="30"/>
                <w:szCs w:val="30"/>
              </w:rPr>
            </w:pPr>
            <w:r w:rsidRPr="003522D0">
              <w:rPr>
                <w:rFonts w:eastAsia="PMingLiU"/>
                <w:bCs/>
                <w:sz w:val="30"/>
                <w:szCs w:val="30"/>
                <w:lang w:eastAsia="zh-TW"/>
              </w:rPr>
              <w:t xml:space="preserve">Реализация мероприятий по достижению стратегической цели ЮНЭЙДС </w:t>
            </w:r>
            <w:r w:rsidR="00401319" w:rsidRPr="003522D0">
              <w:rPr>
                <w:rFonts w:eastAsia="PMingLiU"/>
                <w:bCs/>
                <w:sz w:val="30"/>
                <w:szCs w:val="30"/>
                <w:lang w:eastAsia="zh-TW"/>
              </w:rPr>
              <w:t xml:space="preserve"> «95-95-95»</w:t>
            </w:r>
          </w:p>
          <w:p w:rsidR="00401319" w:rsidRPr="003522D0" w:rsidRDefault="00401319" w:rsidP="0064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34" w:type="dxa"/>
            <w:vAlign w:val="center"/>
          </w:tcPr>
          <w:p w:rsidR="00401319" w:rsidRPr="003522D0" w:rsidRDefault="00401319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в соответствии с целью стратег</w:t>
            </w:r>
            <w:proofErr w:type="gramStart"/>
            <w:r w:rsidRPr="003522D0">
              <w:rPr>
                <w:rFonts w:ascii="Times New Roman" w:hAnsi="Times New Roman"/>
                <w:sz w:val="30"/>
                <w:szCs w:val="30"/>
              </w:rPr>
              <w:t>ии ОО</w:t>
            </w:r>
            <w:proofErr w:type="gramEnd"/>
            <w:r w:rsidRPr="003522D0">
              <w:rPr>
                <w:rFonts w:ascii="Times New Roman" w:hAnsi="Times New Roman"/>
                <w:sz w:val="30"/>
                <w:szCs w:val="30"/>
              </w:rPr>
              <w:t>Н</w:t>
            </w:r>
          </w:p>
          <w:p w:rsidR="00401319" w:rsidRPr="003522D0" w:rsidRDefault="00401319" w:rsidP="00006E8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5" w:type="dxa"/>
            <w:vAlign w:val="center"/>
          </w:tcPr>
          <w:p w:rsidR="00401319" w:rsidRPr="003522D0" w:rsidRDefault="00401319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в соответствии с целью стратег</w:t>
            </w:r>
            <w:proofErr w:type="gramStart"/>
            <w:r w:rsidRPr="003522D0">
              <w:rPr>
                <w:rFonts w:ascii="Times New Roman" w:hAnsi="Times New Roman"/>
                <w:sz w:val="30"/>
                <w:szCs w:val="30"/>
              </w:rPr>
              <w:t>ии ОО</w:t>
            </w:r>
            <w:proofErr w:type="gramEnd"/>
            <w:r w:rsidRPr="003522D0">
              <w:rPr>
                <w:rFonts w:ascii="Times New Roman" w:hAnsi="Times New Roman"/>
                <w:sz w:val="30"/>
                <w:szCs w:val="30"/>
              </w:rPr>
              <w:t>Н</w:t>
            </w:r>
          </w:p>
          <w:p w:rsidR="00401319" w:rsidRPr="003522D0" w:rsidRDefault="00401319" w:rsidP="006432A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1319" w:rsidRPr="003522D0" w:rsidTr="002622B2">
        <w:trPr>
          <w:trHeight w:val="139"/>
        </w:trPr>
        <w:tc>
          <w:tcPr>
            <w:tcW w:w="8650" w:type="dxa"/>
          </w:tcPr>
          <w:p w:rsidR="00401319" w:rsidRPr="003522D0" w:rsidRDefault="00661C3C" w:rsidP="00661C3C">
            <w:pPr>
              <w:pStyle w:val="a4"/>
              <w:jc w:val="both"/>
              <w:rPr>
                <w:rFonts w:eastAsia="PMingLiU"/>
                <w:bCs/>
                <w:sz w:val="30"/>
                <w:szCs w:val="30"/>
                <w:lang w:eastAsia="zh-TW"/>
              </w:rPr>
            </w:pPr>
            <w:r w:rsidRPr="003522D0">
              <w:rPr>
                <w:sz w:val="30"/>
                <w:szCs w:val="30"/>
              </w:rPr>
              <w:t xml:space="preserve">Улучшение условий труда работающих </w:t>
            </w:r>
            <w:r w:rsidR="00923125" w:rsidRPr="003522D0">
              <w:rPr>
                <w:sz w:val="30"/>
                <w:szCs w:val="30"/>
              </w:rPr>
              <w:t>ОАО «Краснопольский»</w:t>
            </w:r>
            <w:r w:rsidR="00FE7310" w:rsidRPr="003522D0">
              <w:rPr>
                <w:sz w:val="30"/>
                <w:szCs w:val="30"/>
              </w:rPr>
              <w:t>, ОДО «</w:t>
            </w:r>
            <w:r w:rsidRPr="003522D0">
              <w:rPr>
                <w:sz w:val="30"/>
                <w:szCs w:val="30"/>
              </w:rPr>
              <w:t>Спилл</w:t>
            </w:r>
            <w:r w:rsidR="00FE7310" w:rsidRPr="003522D0">
              <w:rPr>
                <w:sz w:val="30"/>
                <w:szCs w:val="30"/>
              </w:rPr>
              <w:t>хард»</w:t>
            </w:r>
          </w:p>
        </w:tc>
        <w:tc>
          <w:tcPr>
            <w:tcW w:w="3634" w:type="dxa"/>
            <w:vAlign w:val="center"/>
          </w:tcPr>
          <w:p w:rsidR="00401319" w:rsidRPr="003522D0" w:rsidRDefault="00661C3C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5</w:t>
            </w:r>
            <w:r w:rsidR="00401319" w:rsidRPr="003522D0">
              <w:rPr>
                <w:rFonts w:ascii="Times New Roman" w:hAnsi="Times New Roman"/>
                <w:sz w:val="30"/>
                <w:szCs w:val="30"/>
              </w:rPr>
              <w:t>%</w:t>
            </w:r>
          </w:p>
        </w:tc>
        <w:tc>
          <w:tcPr>
            <w:tcW w:w="2845" w:type="dxa"/>
            <w:vAlign w:val="center"/>
          </w:tcPr>
          <w:p w:rsidR="00401319" w:rsidRPr="003522D0" w:rsidRDefault="00BF623E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7</w:t>
            </w:r>
            <w:r w:rsidR="00401319" w:rsidRPr="003522D0">
              <w:rPr>
                <w:rFonts w:ascii="Times New Roman" w:hAnsi="Times New Roman"/>
                <w:sz w:val="30"/>
                <w:szCs w:val="30"/>
              </w:rPr>
              <w:t>%</w:t>
            </w:r>
          </w:p>
        </w:tc>
      </w:tr>
      <w:tr w:rsidR="008470B1" w:rsidRPr="003522D0" w:rsidTr="002622B2">
        <w:trPr>
          <w:trHeight w:val="139"/>
        </w:trPr>
        <w:tc>
          <w:tcPr>
            <w:tcW w:w="8650" w:type="dxa"/>
          </w:tcPr>
          <w:p w:rsidR="008470B1" w:rsidRPr="003522D0" w:rsidRDefault="008470B1" w:rsidP="003B0113">
            <w:pPr>
              <w:pStyle w:val="a4"/>
              <w:jc w:val="both"/>
              <w:rPr>
                <w:rFonts w:eastAsia="PMingLiU"/>
                <w:bCs/>
                <w:sz w:val="30"/>
                <w:szCs w:val="30"/>
                <w:lang w:eastAsia="zh-TW"/>
              </w:rPr>
            </w:pPr>
            <w:r w:rsidRPr="003522D0">
              <w:rPr>
                <w:sz w:val="30"/>
                <w:szCs w:val="30"/>
              </w:rPr>
              <w:t>Сокращение удельного веса рабочих мест, не соответствующих гигиеническим нормативам, по показател</w:t>
            </w:r>
            <w:r w:rsidR="003B0113" w:rsidRPr="003522D0">
              <w:rPr>
                <w:sz w:val="30"/>
                <w:szCs w:val="30"/>
              </w:rPr>
              <w:t>ю</w:t>
            </w:r>
            <w:r w:rsidRPr="003522D0">
              <w:rPr>
                <w:sz w:val="30"/>
                <w:szCs w:val="30"/>
              </w:rPr>
              <w:t xml:space="preserve"> микроклимата на объектах торговли и общественного питания Краснопольского райПО </w:t>
            </w:r>
          </w:p>
        </w:tc>
        <w:tc>
          <w:tcPr>
            <w:tcW w:w="3634" w:type="dxa"/>
            <w:vAlign w:val="center"/>
          </w:tcPr>
          <w:p w:rsidR="008470B1" w:rsidRPr="003522D0" w:rsidRDefault="00BF623E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1%</w:t>
            </w:r>
          </w:p>
        </w:tc>
        <w:tc>
          <w:tcPr>
            <w:tcW w:w="2845" w:type="dxa"/>
            <w:vAlign w:val="center"/>
          </w:tcPr>
          <w:p w:rsidR="008470B1" w:rsidRPr="003522D0" w:rsidRDefault="00BF623E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1%</w:t>
            </w:r>
          </w:p>
        </w:tc>
      </w:tr>
      <w:tr w:rsidR="00006E89" w:rsidRPr="003522D0" w:rsidTr="002622B2">
        <w:trPr>
          <w:trHeight w:val="139"/>
        </w:trPr>
        <w:tc>
          <w:tcPr>
            <w:tcW w:w="8650" w:type="dxa"/>
          </w:tcPr>
          <w:p w:rsidR="00006E89" w:rsidRPr="003522D0" w:rsidRDefault="00006E89" w:rsidP="00006E8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22D0">
              <w:rPr>
                <w:rFonts w:ascii="Times New Roman" w:hAnsi="Times New Roman" w:cs="Times New Roman"/>
                <w:sz w:val="30"/>
                <w:szCs w:val="30"/>
              </w:rPr>
              <w:t>Недопущение фактов реализации некачественной и небезопасной продукции непродовольственной и продовольственной группы</w:t>
            </w:r>
            <w:r w:rsidR="000A2546" w:rsidRPr="003522D0">
              <w:rPr>
                <w:rFonts w:ascii="Times New Roman" w:hAnsi="Times New Roman" w:cs="Times New Roman"/>
                <w:sz w:val="30"/>
                <w:szCs w:val="30"/>
              </w:rPr>
              <w:t xml:space="preserve"> товаров</w:t>
            </w:r>
          </w:p>
        </w:tc>
        <w:tc>
          <w:tcPr>
            <w:tcW w:w="3634" w:type="dxa"/>
            <w:vAlign w:val="center"/>
          </w:tcPr>
          <w:p w:rsidR="00006E89" w:rsidRPr="003522D0" w:rsidRDefault="00006E89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845" w:type="dxa"/>
            <w:vAlign w:val="center"/>
          </w:tcPr>
          <w:p w:rsidR="00006E89" w:rsidRPr="003522D0" w:rsidRDefault="00006E89" w:rsidP="004013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22D0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</w:tr>
    </w:tbl>
    <w:p w:rsidR="00610CE8" w:rsidRPr="003522D0" w:rsidRDefault="00610CE8" w:rsidP="00610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0CE8" w:rsidRPr="003522D0" w:rsidRDefault="00610CE8" w:rsidP="003C5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10CE8" w:rsidRPr="003522D0" w:rsidSect="003522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3A86"/>
    <w:multiLevelType w:val="hybridMultilevel"/>
    <w:tmpl w:val="595C74C0"/>
    <w:lvl w:ilvl="0" w:tplc="6D70F2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9F41163"/>
    <w:multiLevelType w:val="hybridMultilevel"/>
    <w:tmpl w:val="A0AA4930"/>
    <w:lvl w:ilvl="0" w:tplc="CAAEEA7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AB"/>
    <w:rsid w:val="00006E89"/>
    <w:rsid w:val="00050075"/>
    <w:rsid w:val="00062DAB"/>
    <w:rsid w:val="00070662"/>
    <w:rsid w:val="00082902"/>
    <w:rsid w:val="00085AF6"/>
    <w:rsid w:val="0008632A"/>
    <w:rsid w:val="000A2546"/>
    <w:rsid w:val="000C01AA"/>
    <w:rsid w:val="000C064C"/>
    <w:rsid w:val="000C243E"/>
    <w:rsid w:val="000C3BAD"/>
    <w:rsid w:val="00124851"/>
    <w:rsid w:val="00163936"/>
    <w:rsid w:val="00167E96"/>
    <w:rsid w:val="00183338"/>
    <w:rsid w:val="001F53F6"/>
    <w:rsid w:val="002078BF"/>
    <w:rsid w:val="00216015"/>
    <w:rsid w:val="002471BF"/>
    <w:rsid w:val="00250831"/>
    <w:rsid w:val="002622B2"/>
    <w:rsid w:val="002851F5"/>
    <w:rsid w:val="002905ED"/>
    <w:rsid w:val="00295DA4"/>
    <w:rsid w:val="00296875"/>
    <w:rsid w:val="002D4198"/>
    <w:rsid w:val="00316351"/>
    <w:rsid w:val="003267A7"/>
    <w:rsid w:val="003474F1"/>
    <w:rsid w:val="003522D0"/>
    <w:rsid w:val="003B0113"/>
    <w:rsid w:val="003C56B4"/>
    <w:rsid w:val="00401319"/>
    <w:rsid w:val="00431A09"/>
    <w:rsid w:val="00434EB3"/>
    <w:rsid w:val="00484141"/>
    <w:rsid w:val="00484B0C"/>
    <w:rsid w:val="004D0529"/>
    <w:rsid w:val="00555F0C"/>
    <w:rsid w:val="005624FC"/>
    <w:rsid w:val="00563A74"/>
    <w:rsid w:val="00565DA2"/>
    <w:rsid w:val="00572D5F"/>
    <w:rsid w:val="00575538"/>
    <w:rsid w:val="0059320C"/>
    <w:rsid w:val="005A074B"/>
    <w:rsid w:val="005F010C"/>
    <w:rsid w:val="005F30D3"/>
    <w:rsid w:val="00610CE8"/>
    <w:rsid w:val="006432A9"/>
    <w:rsid w:val="00646D23"/>
    <w:rsid w:val="00661C3C"/>
    <w:rsid w:val="00662105"/>
    <w:rsid w:val="00686F06"/>
    <w:rsid w:val="006879CB"/>
    <w:rsid w:val="00724F40"/>
    <w:rsid w:val="00732453"/>
    <w:rsid w:val="00755916"/>
    <w:rsid w:val="00817871"/>
    <w:rsid w:val="00817F80"/>
    <w:rsid w:val="008470B1"/>
    <w:rsid w:val="00850E0B"/>
    <w:rsid w:val="00852101"/>
    <w:rsid w:val="0086681C"/>
    <w:rsid w:val="008A0AFF"/>
    <w:rsid w:val="008A58CA"/>
    <w:rsid w:val="008C4A0D"/>
    <w:rsid w:val="008D4544"/>
    <w:rsid w:val="008D78F3"/>
    <w:rsid w:val="00923125"/>
    <w:rsid w:val="00946BEE"/>
    <w:rsid w:val="00974DD0"/>
    <w:rsid w:val="009A5762"/>
    <w:rsid w:val="00A038FE"/>
    <w:rsid w:val="00A06BFE"/>
    <w:rsid w:val="00A70503"/>
    <w:rsid w:val="00A83038"/>
    <w:rsid w:val="00A9044A"/>
    <w:rsid w:val="00A973DF"/>
    <w:rsid w:val="00AD330C"/>
    <w:rsid w:val="00B52418"/>
    <w:rsid w:val="00B5300F"/>
    <w:rsid w:val="00B54D6D"/>
    <w:rsid w:val="00B87FD6"/>
    <w:rsid w:val="00BD39A9"/>
    <w:rsid w:val="00BF623E"/>
    <w:rsid w:val="00C062FE"/>
    <w:rsid w:val="00C12C30"/>
    <w:rsid w:val="00C1760A"/>
    <w:rsid w:val="00C3261D"/>
    <w:rsid w:val="00C47DE5"/>
    <w:rsid w:val="00C960BE"/>
    <w:rsid w:val="00CA610D"/>
    <w:rsid w:val="00D60593"/>
    <w:rsid w:val="00D62A3C"/>
    <w:rsid w:val="00D70902"/>
    <w:rsid w:val="00D753EA"/>
    <w:rsid w:val="00D80CD0"/>
    <w:rsid w:val="00D97CF1"/>
    <w:rsid w:val="00E9484A"/>
    <w:rsid w:val="00ED4F0B"/>
    <w:rsid w:val="00EE3F75"/>
    <w:rsid w:val="00F26FB5"/>
    <w:rsid w:val="00F74252"/>
    <w:rsid w:val="00F90072"/>
    <w:rsid w:val="00FC668D"/>
    <w:rsid w:val="00FD5DAA"/>
    <w:rsid w:val="00FE7310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621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8D78F3"/>
    <w:pPr>
      <w:ind w:left="720"/>
      <w:contextualSpacing/>
    </w:pPr>
  </w:style>
  <w:style w:type="paragraph" w:styleId="3">
    <w:name w:val="Body Text 3"/>
    <w:basedOn w:val="a"/>
    <w:link w:val="30"/>
    <w:unhideWhenUsed/>
    <w:rsid w:val="00724F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24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99"/>
    <w:qFormat/>
    <w:rsid w:val="0072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724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648D-DC07-41B1-BDBE-629850EE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51</cp:revision>
  <dcterms:created xsi:type="dcterms:W3CDTF">2019-03-01T10:21:00Z</dcterms:created>
  <dcterms:modified xsi:type="dcterms:W3CDTF">2022-09-27T05:09:00Z</dcterms:modified>
</cp:coreProperties>
</file>